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⚖️ Annex D – Risk Register</w:t>
      </w:r>
    </w:p>
    <w:p>
      <w:r>
        <w:t>Methodology: Risks are scored by likelihood and impact (Low / Medium / High), with mitigation strategies and clear ownership. All risks are modelled pre‑launch and will be validated through governance processes post‑launch.</w:t>
      </w:r>
    </w:p>
    <w:p>
      <w:r>
        <w:t>Risk Register Table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Risk Category</w:t>
            </w:r>
          </w:p>
        </w:tc>
        <w:tc>
          <w:tcPr>
            <w:tcW w:type="dxa" w:w="1728"/>
          </w:tcPr>
          <w:p>
            <w:r>
              <w:t>Likelihood</w:t>
            </w:r>
          </w:p>
        </w:tc>
        <w:tc>
          <w:tcPr>
            <w:tcW w:type="dxa" w:w="1728"/>
          </w:tcPr>
          <w:p>
            <w:r>
              <w:t>Impact</w:t>
            </w:r>
          </w:p>
        </w:tc>
        <w:tc>
          <w:tcPr>
            <w:tcW w:type="dxa" w:w="1728"/>
          </w:tcPr>
          <w:p>
            <w:r>
              <w:t>Risk Owner</w:t>
            </w:r>
          </w:p>
        </w:tc>
        <w:tc>
          <w:tcPr>
            <w:tcW w:type="dxa" w:w="1728"/>
          </w:tcPr>
          <w:p>
            <w:r>
              <w:t>Mitigation Strategy</w:t>
            </w:r>
          </w:p>
        </w:tc>
      </w:tr>
      <w:tr>
        <w:tc>
          <w:tcPr>
            <w:tcW w:type="dxa" w:w="1728"/>
          </w:tcPr>
          <w:p>
            <w:r>
              <w:t>Market Demand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Founder / Marketing Lead</w:t>
            </w:r>
          </w:p>
        </w:tc>
        <w:tc>
          <w:tcPr>
            <w:tcW w:type="dxa" w:w="1728"/>
          </w:tcPr>
          <w:p>
            <w:r>
              <w:t>Staged rollout, flexible pricing, diversified revenue streams</w:t>
            </w:r>
          </w:p>
        </w:tc>
      </w:tr>
      <w:tr>
        <w:tc>
          <w:tcPr>
            <w:tcW w:type="dxa" w:w="1728"/>
          </w:tcPr>
          <w:p>
            <w:r>
              <w:t>Regulatory</w:t>
            </w:r>
          </w:p>
        </w:tc>
        <w:tc>
          <w:tcPr>
            <w:tcW w:type="dxa" w:w="1728"/>
          </w:tcPr>
          <w:p>
            <w:r>
              <w:t>Low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Compliance Officer</w:t>
            </w:r>
          </w:p>
        </w:tc>
        <w:tc>
          <w:tcPr>
            <w:tcW w:type="dxa" w:w="1728"/>
          </w:tcPr>
          <w:p>
            <w:r>
              <w:t>Early DAFF/SAPS engagement, legal due diligence, permits secured</w:t>
            </w:r>
          </w:p>
        </w:tc>
      </w:tr>
      <w:tr>
        <w:tc>
          <w:tcPr>
            <w:tcW w:type="dxa" w:w="1728"/>
          </w:tcPr>
          <w:p>
            <w:r>
              <w:t>Operational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Operations Manager</w:t>
            </w:r>
          </w:p>
        </w:tc>
        <w:tc>
          <w:tcPr>
            <w:tcW w:type="dxa" w:w="1728"/>
          </w:tcPr>
          <w:p>
            <w:r>
              <w:t>Staff training, SOPs, local supplier partnerships</w:t>
            </w:r>
          </w:p>
        </w:tc>
      </w:tr>
      <w:tr>
        <w:tc>
          <w:tcPr>
            <w:tcW w:type="dxa" w:w="1728"/>
          </w:tcPr>
          <w:p>
            <w:r>
              <w:t>Climate / Water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Sustainability Lead</w:t>
            </w:r>
          </w:p>
        </w:tc>
        <w:tc>
          <w:tcPr>
            <w:tcW w:type="dxa" w:w="1728"/>
          </w:tcPr>
          <w:p>
            <w:r>
              <w:t>Irrigation planning, drought‑resistant crops, water harvesting</w:t>
            </w:r>
          </w:p>
        </w:tc>
      </w:tr>
      <w:tr>
        <w:tc>
          <w:tcPr>
            <w:tcW w:type="dxa" w:w="1728"/>
          </w:tcPr>
          <w:p>
            <w:r>
              <w:t>Financial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High</w:t>
            </w:r>
          </w:p>
        </w:tc>
        <w:tc>
          <w:tcPr>
            <w:tcW w:type="dxa" w:w="1728"/>
          </w:tcPr>
          <w:p>
            <w:r>
              <w:t>CFO / Finance Lead</w:t>
            </w:r>
          </w:p>
        </w:tc>
        <w:tc>
          <w:tcPr>
            <w:tcW w:type="dxa" w:w="1728"/>
          </w:tcPr>
          <w:p>
            <w:r>
              <w:t>Conservative cash flow planning, contingency reserves</w:t>
            </w:r>
          </w:p>
        </w:tc>
      </w:tr>
      <w:tr>
        <w:tc>
          <w:tcPr>
            <w:tcW w:type="dxa" w:w="1728"/>
          </w:tcPr>
          <w:p>
            <w:r>
              <w:t>Reputational</w:t>
            </w:r>
          </w:p>
        </w:tc>
        <w:tc>
          <w:tcPr>
            <w:tcW w:type="dxa" w:w="1728"/>
          </w:tcPr>
          <w:p>
            <w:r>
              <w:t>Low</w:t>
            </w:r>
          </w:p>
        </w:tc>
        <w:tc>
          <w:tcPr>
            <w:tcW w:type="dxa" w:w="1728"/>
          </w:tcPr>
          <w:p>
            <w:r>
              <w:t>Medium</w:t>
            </w:r>
          </w:p>
        </w:tc>
        <w:tc>
          <w:tcPr>
            <w:tcW w:type="dxa" w:w="1728"/>
          </w:tcPr>
          <w:p>
            <w:r>
              <w:t>Founder / Comms Lead</w:t>
            </w:r>
          </w:p>
        </w:tc>
        <w:tc>
          <w:tcPr>
            <w:tcW w:type="dxa" w:w="1728"/>
          </w:tcPr>
          <w:p>
            <w:r>
              <w:t>Transparent investor updates, proactive community engagement</w:t>
            </w:r>
          </w:p>
        </w:tc>
      </w:tr>
    </w:tbl>
    <w:p>
      <w:r>
        <w:t>Key View: Risks are not hidden — they are acknowledged, scored, and paired with mitigation strategies and ownership. This builds investor trust and demonstrates governance maturity.</w:t>
      </w:r>
    </w:p>
    <w:p>
      <w:r>
        <w:t>Investor Logic</w:t>
      </w:r>
    </w:p>
    <w:p>
      <w:r>
        <w:t>Market Demand: Mitigated by phased rollout and diversified income streams.</w:t>
      </w:r>
    </w:p>
    <w:p>
      <w:r>
        <w:t>Regulatory: Low likelihood but high impact → addressed through compliance and early engagement.</w:t>
      </w:r>
    </w:p>
    <w:p>
      <w:r>
        <w:t>Operational &amp; Climate: Practical mitigations in place, showing foresight.</w:t>
      </w:r>
    </w:p>
    <w:p>
      <w:r>
        <w:t>Financial: Conservative planning ensures resilience.</w:t>
      </w:r>
    </w:p>
    <w:p>
      <w:r>
        <w:t>Reputational: Transparency and community engagement reduce downside risk.</w:t>
      </w:r>
    </w:p>
    <w:p>
      <w:r>
        <w:t>Visuals</w:t>
      </w:r>
    </w:p>
    <w:p>
      <w:r>
        <w:drawing>
          <wp:inline xmlns:a="http://schemas.openxmlformats.org/drawingml/2006/main" xmlns:pic="http://schemas.openxmlformats.org/drawingml/2006/picture">
            <wp:extent cx="45720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nnexD_heatm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